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1AD" w:rsidRPr="001C14EB" w:rsidRDefault="001C14EB">
      <w:pPr>
        <w:spacing w:after="200"/>
        <w:jc w:val="center"/>
      </w:pPr>
      <w:r w:rsidRPr="001C14EB">
        <w:rPr>
          <w:noProof/>
        </w:rPr>
        <w:drawing>
          <wp:inline distT="0" distB="0" distL="0" distR="0">
            <wp:extent cx="1238250" cy="7143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1AD" w:rsidRPr="001C14EB" w:rsidRDefault="001C14EB">
      <w:pPr>
        <w:spacing w:after="40"/>
        <w:jc w:val="center"/>
      </w:pPr>
      <w:r w:rsidRPr="001C14EB">
        <w:rPr>
          <w:b/>
          <w:bCs/>
        </w:rPr>
        <w:t>ESCOLA SUPERIOR DE CONTROLE EXTERNO AELSON NASCIMENTO (ESCOEX)</w:t>
      </w:r>
    </w:p>
    <w:p w:rsidR="003771AD" w:rsidRPr="001C14EB" w:rsidRDefault="001C14EB">
      <w:pPr>
        <w:spacing w:after="600"/>
        <w:jc w:val="center"/>
      </w:pPr>
      <w:r w:rsidRPr="001C14EB">
        <w:rPr>
          <w:b/>
          <w:bCs/>
        </w:rPr>
        <w:t>COORDENAÇÃO GERAL (CO</w:t>
      </w:r>
      <w:r w:rsidR="00756F45">
        <w:rPr>
          <w:b/>
          <w:bCs/>
        </w:rPr>
        <w:t>-</w:t>
      </w:r>
      <w:r w:rsidRPr="001C14EB">
        <w:rPr>
          <w:b/>
          <w:bCs/>
        </w:rPr>
        <w:t>ESC</w:t>
      </w:r>
      <w:bookmarkStart w:id="0" w:name="_GoBack"/>
      <w:bookmarkEnd w:id="0"/>
      <w:r w:rsidRPr="001C14EB">
        <w:rPr>
          <w:b/>
          <w:bCs/>
        </w:rPr>
        <w:t>GERAL)</w:t>
      </w:r>
    </w:p>
    <w:p w:rsidR="001C14EB" w:rsidRPr="001C14EB" w:rsidRDefault="001C14EB">
      <w:pPr>
        <w:spacing w:before="800" w:after="200"/>
        <w:jc w:val="center"/>
        <w:rPr>
          <w:b/>
          <w:bCs/>
          <w:sz w:val="28"/>
          <w:szCs w:val="28"/>
        </w:rPr>
      </w:pPr>
    </w:p>
    <w:p w:rsidR="001C14EB" w:rsidRPr="001C14EB" w:rsidRDefault="001C14EB">
      <w:pPr>
        <w:spacing w:before="800" w:after="200"/>
        <w:jc w:val="center"/>
        <w:rPr>
          <w:b/>
          <w:bCs/>
          <w:sz w:val="28"/>
          <w:szCs w:val="28"/>
        </w:rPr>
      </w:pPr>
    </w:p>
    <w:p w:rsidR="001C14EB" w:rsidRPr="001C14EB" w:rsidRDefault="001C14EB">
      <w:pPr>
        <w:spacing w:before="800" w:after="200"/>
        <w:jc w:val="center"/>
        <w:rPr>
          <w:b/>
          <w:bCs/>
          <w:sz w:val="28"/>
          <w:szCs w:val="28"/>
        </w:rPr>
      </w:pPr>
    </w:p>
    <w:p w:rsidR="001C14EB" w:rsidRPr="001C14EB" w:rsidRDefault="001C14EB">
      <w:pPr>
        <w:spacing w:before="800" w:after="200"/>
        <w:jc w:val="center"/>
        <w:rPr>
          <w:b/>
          <w:bCs/>
          <w:sz w:val="28"/>
          <w:szCs w:val="28"/>
        </w:rPr>
      </w:pPr>
    </w:p>
    <w:p w:rsidR="003771AD" w:rsidRPr="001C14EB" w:rsidRDefault="001C14EB">
      <w:pPr>
        <w:spacing w:before="800" w:after="200"/>
        <w:jc w:val="center"/>
      </w:pPr>
      <w:r w:rsidRPr="001C14EB">
        <w:rPr>
          <w:b/>
          <w:bCs/>
          <w:sz w:val="28"/>
          <w:szCs w:val="28"/>
        </w:rPr>
        <w:t xml:space="preserve">PO GERIR PDI - ANEXO I </w:t>
      </w:r>
    </w:p>
    <w:p w:rsidR="001C14EB" w:rsidRPr="001C14EB" w:rsidRDefault="001C14EB">
      <w:pPr>
        <w:spacing w:after="600"/>
        <w:jc w:val="center"/>
        <w:rPr>
          <w:b/>
          <w:bCs/>
          <w:sz w:val="28"/>
          <w:szCs w:val="28"/>
        </w:rPr>
      </w:pPr>
      <w:r w:rsidRPr="001C14EB">
        <w:rPr>
          <w:b/>
          <w:bCs/>
          <w:sz w:val="28"/>
          <w:szCs w:val="28"/>
        </w:rPr>
        <w:t>MODELO DE ESTRUTURA DO PLANO DE DESENVOLVIMENTO INSTITUCIONAL (PDI) DA ESCOEX</w:t>
      </w:r>
    </w:p>
    <w:p w:rsidR="001C14EB" w:rsidRPr="001C14EB" w:rsidRDefault="001C14EB">
      <w:pPr>
        <w:rPr>
          <w:b/>
          <w:bCs/>
          <w:sz w:val="28"/>
          <w:szCs w:val="28"/>
        </w:rPr>
      </w:pPr>
      <w:r w:rsidRPr="001C14EB">
        <w:rPr>
          <w:b/>
          <w:bCs/>
          <w:sz w:val="28"/>
          <w:szCs w:val="28"/>
        </w:rPr>
        <w:br w:type="page"/>
      </w:r>
    </w:p>
    <w:p w:rsidR="003771AD" w:rsidRPr="001C14EB" w:rsidRDefault="001C14EB" w:rsidP="001C14EB">
      <w:pPr>
        <w:pStyle w:val="Ttulo1"/>
        <w:spacing w:before="360" w:after="160"/>
        <w:jc w:val="center"/>
        <w:rPr>
          <w:color w:val="FF0000"/>
        </w:rPr>
      </w:pPr>
      <w:r w:rsidRPr="001C14EB">
        <w:rPr>
          <w:b/>
          <w:bCs/>
          <w:color w:val="FF0000"/>
        </w:rPr>
        <w:lastRenderedPageBreak/>
        <w:t>ORIENTAÇÕES DE PREENCHIMENTO</w:t>
      </w:r>
    </w:p>
    <w:p w:rsidR="001C14EB" w:rsidRDefault="001C14EB">
      <w:pPr>
        <w:spacing w:after="160"/>
        <w:jc w:val="both"/>
        <w:rPr>
          <w:color w:val="FF0000"/>
        </w:rPr>
      </w:pPr>
    </w:p>
    <w:p w:rsidR="003771AD" w:rsidRPr="001C14EB" w:rsidRDefault="001C14EB">
      <w:pPr>
        <w:spacing w:after="160"/>
        <w:jc w:val="both"/>
        <w:rPr>
          <w:color w:val="FF0000"/>
        </w:rPr>
      </w:pPr>
      <w:r w:rsidRPr="001C14EB">
        <w:rPr>
          <w:color w:val="FF0000"/>
        </w:rPr>
        <w:t>Este Anexo estabelece o modelo padrão de estrutura do Plano de Desenvolvimento Institucional (PDI) da ESCOEX, nos termos do PO Gerir PDI e da Resolução Administrativa nº 16/2025 (Regulamento da ESCOEX). O documento reproduz as seções e subseções que todo PDI deve conter, contemplando a identidade institucional, a caracterização da comunidade acadêmica, a organização administrativa, a infraestrutura de apoio, a metodologia, o Plano Político-Pedagógico (PPP) e o Plano Estratégico da Escola.</w:t>
      </w:r>
      <w:r>
        <w:rPr>
          <w:color w:val="FF0000"/>
        </w:rPr>
        <w:t xml:space="preserve"> Para o documento oficial elementos </w:t>
      </w:r>
      <w:proofErr w:type="spellStart"/>
      <w:r>
        <w:rPr>
          <w:color w:val="FF0000"/>
        </w:rPr>
        <w:t>pré</w:t>
      </w:r>
      <w:proofErr w:type="spellEnd"/>
      <w:r>
        <w:rPr>
          <w:color w:val="FF0000"/>
        </w:rPr>
        <w:t xml:space="preserve"> e pós textuais, como capa e contracapa, referências, etc., assim como elementos gráficos e figuras, são de livre edição e formatação.</w:t>
      </w:r>
    </w:p>
    <w:p w:rsidR="003771AD" w:rsidRPr="001C14EB" w:rsidRDefault="001C14EB">
      <w:pPr>
        <w:spacing w:after="160"/>
        <w:jc w:val="both"/>
        <w:rPr>
          <w:color w:val="FF0000"/>
        </w:rPr>
      </w:pPr>
      <w:r w:rsidRPr="001C14EB">
        <w:rPr>
          <w:color w:val="FF0000"/>
        </w:rPr>
        <w:t xml:space="preserve">Cada seção </w:t>
      </w:r>
      <w:r>
        <w:rPr>
          <w:color w:val="FF0000"/>
        </w:rPr>
        <w:t xml:space="preserve">deste modelo </w:t>
      </w:r>
      <w:r w:rsidRPr="001C14EB">
        <w:rPr>
          <w:color w:val="FF0000"/>
        </w:rPr>
        <w:t xml:space="preserve">traz, entre colchetes e em itálico, uma orientação sobre o conteúdo esperado, a ser substituída pelo texto elaborado para o respectivo ciclo do PDI. Os quadros apresentados (eixos e objetivos estratégicos, indicadores, metas, riscos e matriz SWOT) constam com cabeçalhos e uma linha de exemplo, devendo ser completados e expandidos conforme o número de itens definidos em cada ciclo. A metodologia e as técnicas para diagnóstico podem ser ajustadas conforme necessário, assim como seções podem ser acrescidas ou ajustadas, desde que respeitem a </w:t>
      </w:r>
      <w:r>
        <w:rPr>
          <w:color w:val="FF0000"/>
        </w:rPr>
        <w:t xml:space="preserve">estrutura obrigatório prevista em </w:t>
      </w:r>
      <w:r w:rsidRPr="001C14EB">
        <w:rPr>
          <w:color w:val="FF0000"/>
        </w:rPr>
        <w:t>regulamentação vigente, em especial a Resolução 5/2016 do CEE</w:t>
      </w:r>
      <w:r>
        <w:rPr>
          <w:color w:val="FF0000"/>
        </w:rPr>
        <w:t>/GO</w:t>
      </w:r>
      <w:r w:rsidRPr="001C14EB">
        <w:rPr>
          <w:color w:val="FF0000"/>
        </w:rPr>
        <w:t>.</w:t>
      </w:r>
    </w:p>
    <w:p w:rsidR="003771AD" w:rsidRPr="001C14EB" w:rsidRDefault="001C14EB">
      <w:pPr>
        <w:spacing w:after="160"/>
        <w:jc w:val="both"/>
        <w:rPr>
          <w:color w:val="FF0000"/>
        </w:rPr>
      </w:pPr>
      <w:r>
        <w:rPr>
          <w:color w:val="FF0000"/>
        </w:rPr>
        <w:t>Toda</w:t>
      </w:r>
      <w:r w:rsidRPr="001C14EB">
        <w:rPr>
          <w:color w:val="FF0000"/>
        </w:rPr>
        <w:t>s referências normativas citadas neste modelo (leis, resoluções administrativas e normativas) devem ser conferidas e atualizadas por ocasião da elaboração de cada novo PDI, uma vez que podem ser revogadas, alteradas ou substituídas ao longo do tempo.</w:t>
      </w:r>
    </w:p>
    <w:p w:rsidR="003771AD" w:rsidRPr="001C14EB" w:rsidRDefault="001C14EB">
      <w:r w:rsidRPr="001C14EB">
        <w:br w:type="page"/>
      </w:r>
    </w:p>
    <w:p w:rsidR="003771AD" w:rsidRPr="001C14EB" w:rsidRDefault="001C14EB">
      <w:pPr>
        <w:pStyle w:val="Ttulo1"/>
        <w:spacing w:before="360" w:after="160"/>
        <w:rPr>
          <w:color w:val="auto"/>
        </w:rPr>
      </w:pPr>
      <w:r w:rsidRPr="001C14EB">
        <w:rPr>
          <w:b/>
          <w:bCs/>
          <w:color w:val="auto"/>
        </w:rPr>
        <w:lastRenderedPageBreak/>
        <w:t>INTRODUÇÃO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[Contextualizar</w:t>
      </w:r>
      <w:proofErr w:type="gramEnd"/>
      <w:r w:rsidRPr="001C14EB">
        <w:rPr>
          <w:i/>
          <w:iCs/>
        </w:rPr>
        <w:t xml:space="preserve"> a elaboração do PDI: o marco normativo que rege o instrumento (RA nº 16/2025), sua relação com o PDI/PAI anterior, o período de vigência do novo ciclo (mínimo de 5 anos, coincidente com o mandato da Presidência do TCE-GO) e o alinhamento ao Plano Estratégico do TCE-GO (PET) vigente. Indicar, de forma sintética, os elementos estruturantes do documento: identidade institucional, PPP e Plano Estratégico da Escola.]</w:t>
      </w:r>
    </w:p>
    <w:p w:rsidR="003771AD" w:rsidRPr="001C14EB" w:rsidRDefault="001C14EB">
      <w:pPr>
        <w:pStyle w:val="Ttulo1"/>
        <w:spacing w:before="360" w:after="160"/>
        <w:rPr>
          <w:color w:val="auto"/>
        </w:rPr>
      </w:pPr>
      <w:r w:rsidRPr="001C14EB">
        <w:rPr>
          <w:b/>
          <w:bCs/>
          <w:color w:val="auto"/>
        </w:rPr>
        <w:t>1. IDENTIDADE INSTITUCIONAL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[Apresentar</w:t>
      </w:r>
      <w:proofErr w:type="gramEnd"/>
      <w:r w:rsidRPr="001C14EB">
        <w:rPr>
          <w:i/>
          <w:iCs/>
        </w:rPr>
        <w:t xml:space="preserve"> o histórico e a base legal de criação da ESCOEX (lei de criação, denominação, marcos normativos relevantes), sua finalidade institucional, sua posição na estrutura do TCE-GO e sua relação com as funções constitucionais do Tribunal. Descrever a trajetória de amadurecimento institucional até o ciclo de planejamento vigente.]</w:t>
      </w:r>
    </w:p>
    <w:p w:rsidR="003771AD" w:rsidRPr="001C14EB" w:rsidRDefault="001C14EB">
      <w:pPr>
        <w:pStyle w:val="Ttulo1"/>
        <w:spacing w:before="360" w:after="160"/>
        <w:rPr>
          <w:color w:val="auto"/>
        </w:rPr>
      </w:pPr>
      <w:r w:rsidRPr="001C14EB">
        <w:rPr>
          <w:b/>
          <w:bCs/>
          <w:color w:val="auto"/>
        </w:rPr>
        <w:t>2. CARACTERIZAÇÃO DA COMUNIDADE ACADÊMICA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2.1. Corpo Discente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público discente atendido pela ESCOEX (membros, servidores, jurisdicionados, sociedade civil) e os princípios pedagógicos que orientam a organização das ações educacionais em função desse público.]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2.2. Perfil do Corpo Docente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perfil e a composição do corpo docente (servidores internos e especialistas externos), os critérios de seleção e credenciamento, a política de remuneração e o modelo de valorização docente adotado, conforme o Regulamento da ESCOEX vigente.]</w:t>
      </w:r>
    </w:p>
    <w:p w:rsidR="003771AD" w:rsidRPr="001C14EB" w:rsidRDefault="001C14EB">
      <w:pPr>
        <w:pStyle w:val="Ttulo1"/>
        <w:spacing w:before="360" w:after="160"/>
        <w:rPr>
          <w:color w:val="auto"/>
        </w:rPr>
      </w:pPr>
      <w:r w:rsidRPr="001C14EB">
        <w:rPr>
          <w:b/>
          <w:bCs/>
          <w:color w:val="auto"/>
        </w:rPr>
        <w:t>3. ORGANIZAÇÃO ADMINISTRATIVA</w:t>
      </w:r>
    </w:p>
    <w:p w:rsidR="003771AD" w:rsidRPr="001C14EB" w:rsidRDefault="001C14EB">
      <w:pPr>
        <w:spacing w:after="200"/>
        <w:jc w:val="both"/>
      </w:pPr>
      <w:r w:rsidRPr="001C14EB">
        <w:rPr>
          <w:i/>
          <w:iCs/>
        </w:rPr>
        <w:t>[Situar a ESCOEX na estrutura organizacional do TCE-GO e descrever, de forma geral, o modelo de organização administrativa da Escola.]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3.1. A Escola na Estrutura Orgânica do TCE-GO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[Indicar</w:t>
      </w:r>
      <w:proofErr w:type="gramEnd"/>
      <w:r w:rsidRPr="001C14EB">
        <w:rPr>
          <w:i/>
          <w:iCs/>
        </w:rPr>
        <w:t xml:space="preserve"> a base normativa da estrutura organizacional do Tribunal vigente e a posição da ESCOEX nessa estrutura.]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3.2. Estrutura Organizacional da Escola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[Apresentar</w:t>
      </w:r>
      <w:proofErr w:type="gramEnd"/>
      <w:r w:rsidRPr="001C14EB">
        <w:rPr>
          <w:i/>
          <w:iCs/>
        </w:rPr>
        <w:t xml:space="preserve"> o organograma da ESCOEX vigente (Diretoria, Coordenação Geral, Coordenação Administrativa, Coordenação Acadêmico-Pedagógica e serviços vinculados), com síntese das competências de cada unidade.]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3.3. Dos Serviços Auxiliares e Núcleos Especializados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os serviços auxiliares (Serviço de Capacitação; Serviço de Biblioteca e Gestão da Informação) e os núcleos especializados previstos no Regulamento vigente, com suas respectivas competências.]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3.4. Núcleos, Comissões e Instâncias de Governança Acadêmica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[Apresentar</w:t>
      </w:r>
      <w:proofErr w:type="gramEnd"/>
      <w:r w:rsidRPr="001C14EB">
        <w:rPr>
          <w:i/>
          <w:iCs/>
        </w:rPr>
        <w:t xml:space="preserve"> as instâncias permanentes de apoio acadêmico e pedagógico e as comissões/colegiados previstos no Regulamento vigente.]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3.4.1. Núcleos vinculados às Coordenações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lastRenderedPageBreak/>
        <w:t>[Descrever</w:t>
      </w:r>
      <w:proofErr w:type="gramEnd"/>
      <w:r w:rsidRPr="001C14EB">
        <w:rPr>
          <w:i/>
          <w:iCs/>
        </w:rPr>
        <w:t xml:space="preserve"> os núcleos da Coordenação Administrativa e da Coordenação Acadêmico-Pedagógica vigentes, com suas competências.]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3.4.2. Núcleo Docente Estruturante (NDE)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as atribuições do NDE vigentes no Regulamento da ESCOEX.]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3.4.3. Conselhos Editorial e Científico da Revista Controle Externo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a composição e as atribuições dos conselhos vinculados à produção editorial/científica da Escola.]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3.4.4. Outras Comissões e Instâncias Colegiadas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[Registrar</w:t>
      </w:r>
      <w:proofErr w:type="gramEnd"/>
      <w:r w:rsidRPr="001C14EB">
        <w:rPr>
          <w:i/>
          <w:iCs/>
        </w:rPr>
        <w:t xml:space="preserve"> comissões temporárias ou permanentes instituídas pela Diretoria da ESCOEX, quando houver.]</w:t>
      </w:r>
    </w:p>
    <w:p w:rsidR="003771AD" w:rsidRPr="001C14EB" w:rsidRDefault="001C14EB">
      <w:pPr>
        <w:pStyle w:val="Ttulo1"/>
        <w:spacing w:before="360" w:after="160"/>
        <w:rPr>
          <w:color w:val="auto"/>
        </w:rPr>
      </w:pPr>
      <w:r w:rsidRPr="001C14EB">
        <w:rPr>
          <w:b/>
          <w:bCs/>
          <w:color w:val="auto"/>
        </w:rPr>
        <w:t>4. INFRAESTRUTURA DE APOIO ÀS ATIVIDADES EDUCACIONAIS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4.1. Estrutura Física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as instalações físicas utilizadas pela ESCOEX (salas de aula, laboratórios, auditórios, espaços de apoio) e sua capacidade, atualizando os dados conforme a situação vigente no início do ciclo do PDI.]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4.2. Biblioteca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acervo e os serviços da biblioteca vinculada à ESCOEX, incluindo bases de dados e plataformas digitais de apoio à pesquisa.]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4.3. Infraestrutura Tecnológica e Segurança da Informação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a infraestrutura de tecnologia da informação que dá suporte às atividades educacionais e as diretrizes de segurança da informação e proteção de dados pessoais (LGPD) aplicáveis.]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4.4. Acessibilidade Física, Digital e Comunicacional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as diretrizes e os recursos de acessibilidade física, digital e comunicacional adotados pela Escola.]</w:t>
      </w:r>
    </w:p>
    <w:p w:rsidR="003771AD" w:rsidRPr="001C14EB" w:rsidRDefault="001C14EB">
      <w:pPr>
        <w:pStyle w:val="Ttulo1"/>
        <w:spacing w:before="360" w:after="160"/>
        <w:rPr>
          <w:color w:val="auto"/>
        </w:rPr>
      </w:pPr>
      <w:r w:rsidRPr="001C14EB">
        <w:rPr>
          <w:b/>
          <w:bCs/>
          <w:color w:val="auto"/>
        </w:rPr>
        <w:t>5. METODOLOGIA</w:t>
      </w:r>
    </w:p>
    <w:p w:rsidR="003771AD" w:rsidRPr="001C14EB" w:rsidRDefault="001C14EB">
      <w:pPr>
        <w:spacing w:after="200"/>
        <w:jc w:val="both"/>
      </w:pPr>
      <w:r w:rsidRPr="001C14EB">
        <w:rPr>
          <w:i/>
          <w:iCs/>
        </w:rPr>
        <w:t>[Descrever o método de elaboração do PDI: os documentos e referenciais utilizados (PET vigente, Política do SGI, Cadeia de Valor, Manual de Funções, Plano de Controle Externo, LENC, MMD, normas ISO, referenciais do IRB/NBASP, Política de Gestão de Pessoas), as etapas de construção do documento e a justificativa para a integração, em um único instrumento, do PPP e do Plano Estratégico da Escola.]</w:t>
      </w:r>
    </w:p>
    <w:p w:rsidR="003771AD" w:rsidRPr="001C14EB" w:rsidRDefault="001C14EB">
      <w:pPr>
        <w:pStyle w:val="Ttulo1"/>
        <w:spacing w:before="360" w:after="160"/>
        <w:rPr>
          <w:color w:val="auto"/>
        </w:rPr>
      </w:pPr>
      <w:r w:rsidRPr="001C14EB">
        <w:rPr>
          <w:b/>
          <w:bCs/>
          <w:color w:val="auto"/>
        </w:rPr>
        <w:t>6. PLANO POLÍTICO-PEDAGÓGICO (PPP)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6.1. Fundamentação Legal e Finalidade do PPP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[Apresentar</w:t>
      </w:r>
      <w:proofErr w:type="gramEnd"/>
      <w:r w:rsidRPr="001C14EB">
        <w:rPr>
          <w:i/>
          <w:iCs/>
        </w:rPr>
        <w:t xml:space="preserve"> a base legal do PPP (LDB, normas do CEE aplicáveis a escolas de governo, Regulamento da ESCOEX) e sua finalidade educacional, delimitando o público-alvo e a missão formativa da Escola.]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6.1.1. Princípios Pedagógicos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lastRenderedPageBreak/>
        <w:t>[Enunciar</w:t>
      </w:r>
      <w:proofErr w:type="gramEnd"/>
      <w:r w:rsidRPr="001C14EB">
        <w:rPr>
          <w:i/>
          <w:iCs/>
        </w:rPr>
        <w:t xml:space="preserve"> os princípios pedagógicos que orientam a atuação da ESCOEX (gestão por competências, aprendizagem significativa, </w:t>
      </w:r>
      <w:proofErr w:type="spellStart"/>
      <w:r w:rsidRPr="001C14EB">
        <w:rPr>
          <w:i/>
          <w:iCs/>
        </w:rPr>
        <w:t>andragogia</w:t>
      </w:r>
      <w:proofErr w:type="spellEnd"/>
      <w:r w:rsidRPr="001C14EB">
        <w:rPr>
          <w:i/>
          <w:iCs/>
        </w:rPr>
        <w:t>, integração teoria-prática, educação continuada, ética pública, entre outros).]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6.1.2. Concepção Pedagógica Institucional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a concepção pedagógica adotada, articulando educação corporativa, formação acadêmica aplicada e pesquisa aplicada.]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6.2. Gestão Educacional e Organização da Oferta Formativa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os processos e sistemas de gestão educacional (cadastro, frequência, certificação), as modalidades de oferta (presencial, </w:t>
      </w:r>
      <w:proofErr w:type="spellStart"/>
      <w:r w:rsidRPr="001C14EB">
        <w:rPr>
          <w:i/>
          <w:iCs/>
        </w:rPr>
        <w:t>EaD</w:t>
      </w:r>
      <w:proofErr w:type="spellEnd"/>
      <w:r w:rsidRPr="001C14EB">
        <w:rPr>
          <w:i/>
          <w:iCs/>
        </w:rPr>
        <w:t>, híbrida) e os tipos de ação educacional disponibilizados.]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6.2.1. Programas de Formação e Capacitação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[Listar</w:t>
      </w:r>
      <w:proofErr w:type="gramEnd"/>
      <w:r w:rsidRPr="001C14EB">
        <w:rPr>
          <w:i/>
          <w:iCs/>
        </w:rPr>
        <w:t xml:space="preserve"> os programas institucionais de formação e capacitação vigentes, alinhados ao PET, ao PDDC e ao PDI.]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 xml:space="preserve">6.2.2. </w:t>
      </w:r>
      <w:proofErr w:type="gramStart"/>
      <w:r w:rsidRPr="001C14EB">
        <w:rPr>
          <w:b/>
          <w:bCs/>
          <w:i/>
          <w:iCs/>
          <w:color w:val="auto"/>
        </w:rPr>
        <w:t>Convênios e Parcerias Institucionais</w:t>
      </w:r>
      <w:proofErr w:type="gramEnd"/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a política de convênios e parcerias acadêmicas e institucionais da Escola.]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6.2.3. Público-Alvo das Ações Educacionais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[Detalhar</w:t>
      </w:r>
      <w:proofErr w:type="gramEnd"/>
      <w:r w:rsidRPr="001C14EB">
        <w:rPr>
          <w:i/>
          <w:iCs/>
        </w:rPr>
        <w:t xml:space="preserve"> os públicos-alvo das ações educacionais da ESCOEX.]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6.2.4. Diretrizes de Inclusão e Acessibilidade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as diretrizes de inclusão e acessibilidade aplicáveis às ações educacionais.]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6.2.5. Diretrizes Institucionais de Organização Curricular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os elementos mínimos exigidos dos Projetos Pedagógicos de Curso (PPC).]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6.2.6. Gestão da Informação e Documentação Acadêmica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as diretrizes de gestão da informação e documentação acadêmica, incluindo observância à LGPD.]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6.2.7. Gestão de Demandas Não Previstas no Planejamento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fluxo de tratamento de demandas educacionais extraordinárias, não contempladas no planejamento vigente.]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6.2.8. Direitos e Deveres dos Estudantes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[Enunciar</w:t>
      </w:r>
      <w:proofErr w:type="gramEnd"/>
      <w:r w:rsidRPr="001C14EB">
        <w:rPr>
          <w:i/>
          <w:iCs/>
        </w:rPr>
        <w:t xml:space="preserve"> os direitos e deveres dos participantes das ações educacionais da ESCOEX.]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6.3. Diretrizes de Formação e Capacitação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6.3.1. Alinhamento Estratégico e Desenvolvimento de Competências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alinhamento das diretrizes de formação e capacitação ao PET vigente e à Política de Gestão de Pessoas do TCE-GO.]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6.3.2. Eixos de Atuação das Ações de Formação e Capacitação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[Apresentar</w:t>
      </w:r>
      <w:proofErr w:type="gramEnd"/>
      <w:r w:rsidRPr="001C14EB">
        <w:rPr>
          <w:i/>
          <w:iCs/>
        </w:rPr>
        <w:t xml:space="preserve"> a matriz de correlação entre os objetivos estratégicos do PET e os eixos temáticos de capacitação da ESCOEX para o ciclo vigente.]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6.4. Avaliação das Ações Educacionais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modelo geral de avaliação das ações educacionais adotado pela ESCOEX, observado o Regulamento vigente.]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lastRenderedPageBreak/>
        <w:t>6.4.1. Avaliação de Reação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instrumento e a finalidade da avaliação de reação.]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6.4.2. Avaliação de Aprendizagem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instrumento e a finalidade da avaliação de aprendizagem.]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6.4.3. Avaliação de Impacto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instrumento e a finalidade da avaliação de impacto.]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6.4.4. Avaliação da Aprendizagem em Cursos de Pós-Graduação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os critérios de avaliação aplicáveis aos cursos de pós-graduação ofertados ou coordenados pela ESCOEX.]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6.4.5. Integração da Avaliação ao Planejamento Institucional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como os resultados das avaliações retroalimentam o PDDC e o PDI.]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6.4.6. Ciclo Pedagógico das Ações Educacionais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ciclo pedagógico contínuo (planejamento, execução, avaliação e retroalimentação) das ações educacionais.]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6.4.7. Monitoramento e Atualização do PPP (Metas e Indicadores)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processo de monitoramento e revisão periódica do PPP, incluindo o rito de proposição de ajustes pela COESC-ACAD.]</w:t>
      </w:r>
    </w:p>
    <w:p w:rsidR="003771AD" w:rsidRPr="001C14EB" w:rsidRDefault="001C14EB">
      <w:pPr>
        <w:spacing w:before="200" w:after="100"/>
      </w:pPr>
      <w:r w:rsidRPr="001C14EB">
        <w:rPr>
          <w:b/>
          <w:bCs/>
          <w:sz w:val="20"/>
          <w:szCs w:val="20"/>
        </w:rPr>
        <w:t>QUADRO — INDICADORES E METAS DO PPP DA ESCOEX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3"/>
        <w:gridCol w:w="2357"/>
        <w:gridCol w:w="1777"/>
        <w:gridCol w:w="2362"/>
        <w:gridCol w:w="1341"/>
      </w:tblGrid>
      <w:tr w:rsidR="001C14EB" w:rsidRPr="001C14EB">
        <w:tc>
          <w:tcPr>
            <w:tcW w:w="24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Dimensão Avaliada</w:t>
            </w:r>
          </w:p>
        </w:tc>
        <w:tc>
          <w:tcPr>
            <w:tcW w:w="24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Indicador</w:t>
            </w:r>
          </w:p>
        </w:tc>
        <w:tc>
          <w:tcPr>
            <w:tcW w:w="18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Meta de Referência</w:t>
            </w:r>
          </w:p>
        </w:tc>
        <w:tc>
          <w:tcPr>
            <w:tcW w:w="24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Fonte de Verificação</w:t>
            </w:r>
          </w:p>
        </w:tc>
        <w:tc>
          <w:tcPr>
            <w:tcW w:w="12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Periodicidade</w:t>
            </w:r>
          </w:p>
        </w:tc>
      </w:tr>
      <w:tr w:rsidR="001C14EB" w:rsidRPr="001C14EB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[Ex.: Execução do Planejamento Pedagógico]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[Ex.: % de ações executadas conforme planejado]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[Ex.: acima de X%]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[Ex.: PDDC, relatórios pedagógicos]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[Ex.: Anual]</w:t>
            </w:r>
          </w:p>
        </w:tc>
      </w:tr>
    </w:tbl>
    <w:p w:rsidR="003771AD" w:rsidRPr="001C14EB" w:rsidRDefault="003771AD">
      <w:pPr>
        <w:spacing w:after="200"/>
      </w:pPr>
    </w:p>
    <w:p w:rsidR="003771AD" w:rsidRPr="001C14EB" w:rsidRDefault="001C14EB">
      <w:pPr>
        <w:pStyle w:val="Ttulo1"/>
        <w:spacing w:before="360" w:after="160"/>
        <w:rPr>
          <w:color w:val="auto"/>
        </w:rPr>
      </w:pPr>
      <w:r w:rsidRPr="001C14EB">
        <w:rPr>
          <w:b/>
          <w:bCs/>
          <w:color w:val="auto"/>
        </w:rPr>
        <w:t>7. PLANO ESTRATÉGICO DA ESCOEX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7.1. Alinhamento ao PET Vigente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alinhamento do Plano Estratégico da ESCOEX ao Mapa Estratégico e ao período de vigência do PET do TCE-GO em vigor.]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7.2. Estratégia da ESCOEX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a metodologia de construção da estratégia da Escola (diagnóstico situacional, análise SWOT) e apresentar a missão, a visão e os valores institucionais definidos para o ciclo.]</w:t>
      </w:r>
    </w:p>
    <w:p w:rsidR="003771AD" w:rsidRPr="001C14EB" w:rsidRDefault="001C14EB">
      <w:pPr>
        <w:spacing w:before="200" w:after="100"/>
      </w:pPr>
      <w:r w:rsidRPr="001C14EB">
        <w:rPr>
          <w:b/>
          <w:bCs/>
          <w:sz w:val="20"/>
          <w:szCs w:val="20"/>
        </w:rPr>
        <w:t>QUADRO — MATRIZ SWOT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0"/>
        <w:gridCol w:w="4650"/>
      </w:tblGrid>
      <w:tr w:rsidR="001C14EB" w:rsidRPr="001C14EB">
        <w:tc>
          <w:tcPr>
            <w:tcW w:w="46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FORÇAS</w:t>
            </w:r>
          </w:p>
        </w:tc>
        <w:tc>
          <w:tcPr>
            <w:tcW w:w="46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FRAQUEZAS</w:t>
            </w:r>
          </w:p>
        </w:tc>
      </w:tr>
      <w:tr w:rsidR="001C14EB" w:rsidRPr="001C14EB">
        <w:tc>
          <w:tcPr>
            <w:tcW w:w="4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roofErr w:type="gramStart"/>
            <w:r w:rsidRPr="001C14EB">
              <w:rPr>
                <w:i/>
                <w:iCs/>
                <w:sz w:val="18"/>
                <w:szCs w:val="18"/>
              </w:rPr>
              <w:t>[Listar</w:t>
            </w:r>
            <w:proofErr w:type="gramEnd"/>
            <w:r w:rsidRPr="001C14EB">
              <w:rPr>
                <w:i/>
                <w:iCs/>
                <w:sz w:val="18"/>
                <w:szCs w:val="18"/>
              </w:rPr>
              <w:t xml:space="preserve"> as forças identificadas no diagnóstico]</w:t>
            </w:r>
          </w:p>
        </w:tc>
        <w:tc>
          <w:tcPr>
            <w:tcW w:w="4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roofErr w:type="gramStart"/>
            <w:r w:rsidRPr="001C14EB">
              <w:rPr>
                <w:i/>
                <w:iCs/>
                <w:sz w:val="18"/>
                <w:szCs w:val="18"/>
              </w:rPr>
              <w:t>[Listar</w:t>
            </w:r>
            <w:proofErr w:type="gramEnd"/>
            <w:r w:rsidRPr="001C14EB">
              <w:rPr>
                <w:i/>
                <w:iCs/>
                <w:sz w:val="18"/>
                <w:szCs w:val="18"/>
              </w:rPr>
              <w:t xml:space="preserve"> as fraquezas identificadas no diagnóstico]</w:t>
            </w:r>
          </w:p>
        </w:tc>
      </w:tr>
    </w:tbl>
    <w:p w:rsidR="003771AD" w:rsidRPr="001C14EB" w:rsidRDefault="003771AD">
      <w:pPr>
        <w:spacing w:after="200"/>
      </w:pPr>
    </w:p>
    <w:p w:rsidR="003771AD" w:rsidRPr="001C14EB" w:rsidRDefault="003771AD">
      <w:pPr>
        <w:spacing w:before="200" w:after="100"/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0"/>
        <w:gridCol w:w="4650"/>
      </w:tblGrid>
      <w:tr w:rsidR="001C14EB" w:rsidRPr="001C14EB">
        <w:tc>
          <w:tcPr>
            <w:tcW w:w="46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OPORTUNIDADES</w:t>
            </w:r>
          </w:p>
        </w:tc>
        <w:tc>
          <w:tcPr>
            <w:tcW w:w="46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AMEAÇAS</w:t>
            </w:r>
          </w:p>
        </w:tc>
      </w:tr>
      <w:tr w:rsidR="001C14EB" w:rsidRPr="001C14EB">
        <w:tc>
          <w:tcPr>
            <w:tcW w:w="4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roofErr w:type="gramStart"/>
            <w:r w:rsidRPr="001C14EB">
              <w:rPr>
                <w:i/>
                <w:iCs/>
                <w:sz w:val="18"/>
                <w:szCs w:val="18"/>
              </w:rPr>
              <w:t>[Listar</w:t>
            </w:r>
            <w:proofErr w:type="gramEnd"/>
            <w:r w:rsidRPr="001C14EB">
              <w:rPr>
                <w:i/>
                <w:iCs/>
                <w:sz w:val="18"/>
                <w:szCs w:val="18"/>
              </w:rPr>
              <w:t xml:space="preserve"> as oportunidades identificadas no diagnóstico]</w:t>
            </w:r>
          </w:p>
        </w:tc>
        <w:tc>
          <w:tcPr>
            <w:tcW w:w="4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roofErr w:type="gramStart"/>
            <w:r w:rsidRPr="001C14EB">
              <w:rPr>
                <w:i/>
                <w:iCs/>
                <w:sz w:val="18"/>
                <w:szCs w:val="18"/>
              </w:rPr>
              <w:t>[Listar</w:t>
            </w:r>
            <w:proofErr w:type="gramEnd"/>
            <w:r w:rsidRPr="001C14EB">
              <w:rPr>
                <w:i/>
                <w:iCs/>
                <w:sz w:val="18"/>
                <w:szCs w:val="18"/>
              </w:rPr>
              <w:t xml:space="preserve"> as ameaças identificadas no diagnóstico]</w:t>
            </w:r>
          </w:p>
        </w:tc>
      </w:tr>
    </w:tbl>
    <w:p w:rsidR="003771AD" w:rsidRPr="001C14EB" w:rsidRDefault="003771AD">
      <w:pPr>
        <w:spacing w:after="200"/>
      </w:pP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lastRenderedPageBreak/>
        <w:t>7.3. Política Acadêmica e Institucional e Perspectivas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[Enunciar</w:t>
      </w:r>
      <w:proofErr w:type="gramEnd"/>
      <w:r w:rsidRPr="001C14EB">
        <w:rPr>
          <w:i/>
          <w:iCs/>
        </w:rPr>
        <w:t xml:space="preserve"> os compromissos da política acadêmica e institucional da ESCOEX e apresentar as quatro perspectivas estratégicas adotadas (Acadêmica, Capacitação, Institucional e Relacionamento).]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Perspectiva Acadêmica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os objetivos relativos à qualificação do corpo docente, à pesquisa aplicada e à oferta acadêmica própria.]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Perspectiva de Capacitação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os objetivos relativos ao desenvolvimento de competências e sua integração com o PDDC.]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Perspectiva Institucional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os objetivos relativos à governança acadêmica, à infraestrutura e à sustentabilidade da gestão.]</w:t>
      </w: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Perspectiva de Relacionamento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os objetivos relativos a parcerias, cooperação institucional e impacto social.]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 xml:space="preserve">7.4. </w:t>
      </w:r>
      <w:proofErr w:type="gramStart"/>
      <w:r w:rsidRPr="001C14EB">
        <w:rPr>
          <w:b/>
          <w:bCs/>
          <w:color w:val="auto"/>
        </w:rPr>
        <w:t>Eixos e Objetivos Estratégicos</w:t>
      </w:r>
      <w:proofErr w:type="gramEnd"/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[Apresentar</w:t>
      </w:r>
      <w:proofErr w:type="gramEnd"/>
      <w:r w:rsidRPr="001C14EB">
        <w:rPr>
          <w:i/>
          <w:iCs/>
        </w:rPr>
        <w:t xml:space="preserve"> os eixos estratégicos definidos para o ciclo, cada um vinculado a um objetivo estratégico e aos resultados esperados correspondentes. O quadro abaixo deve ser expandido para contemplar todos os eixos definidos.]</w:t>
      </w:r>
    </w:p>
    <w:p w:rsidR="003771AD" w:rsidRPr="001C14EB" w:rsidRDefault="001C14EB">
      <w:pPr>
        <w:spacing w:before="200" w:after="100"/>
      </w:pPr>
      <w:r w:rsidRPr="001C14EB">
        <w:rPr>
          <w:b/>
          <w:bCs/>
          <w:sz w:val="20"/>
          <w:szCs w:val="20"/>
        </w:rPr>
        <w:t>QUADRO — EIXOS E OBJETIVOS ESTRATÉGICOS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3100"/>
        <w:gridCol w:w="3100"/>
      </w:tblGrid>
      <w:tr w:rsidR="001C14EB" w:rsidRPr="001C14EB">
        <w:tc>
          <w:tcPr>
            <w:tcW w:w="31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Eixo Estratégico</w:t>
            </w:r>
          </w:p>
        </w:tc>
        <w:tc>
          <w:tcPr>
            <w:tcW w:w="31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Objetivo Correspondente</w:t>
            </w:r>
          </w:p>
        </w:tc>
        <w:tc>
          <w:tcPr>
            <w:tcW w:w="31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Resultados Esperados</w:t>
            </w:r>
          </w:p>
        </w:tc>
      </w:tr>
      <w:tr w:rsidR="001C14EB" w:rsidRPr="001C14EB"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[Eixo 1 – Nome do eixo]</w:t>
            </w:r>
          </w:p>
        </w:tc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[Objetivo estratégico correspondente]</w:t>
            </w:r>
          </w:p>
        </w:tc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[Resultados esperados]</w:t>
            </w:r>
          </w:p>
        </w:tc>
      </w:tr>
    </w:tbl>
    <w:p w:rsidR="003771AD" w:rsidRPr="001C14EB" w:rsidRDefault="003771AD">
      <w:pPr>
        <w:spacing w:after="200"/>
      </w:pP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[Para</w:t>
      </w:r>
      <w:proofErr w:type="gramEnd"/>
      <w:r w:rsidRPr="001C14EB">
        <w:rPr>
          <w:i/>
          <w:iCs/>
        </w:rPr>
        <w:t xml:space="preserve"> cada eixo constante do quadro, incluir uma subseção (Eixo N – [Nome do eixo]) com o detalhamento textual das iniciativas estruturantes correspondentes.]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7.5. Indicadores, Metas e Riscos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conjunto de indicadores, metas e riscos que permitem o acompanhamento do desempenho institucional da ESCOEX ao longo do ciclo, articulados por eixo/objetivo estratégico.]</w:t>
      </w:r>
    </w:p>
    <w:p w:rsidR="003771AD" w:rsidRPr="001C14EB" w:rsidRDefault="001C14EB">
      <w:pPr>
        <w:spacing w:before="200" w:after="100"/>
      </w:pPr>
      <w:r w:rsidRPr="001C14EB">
        <w:rPr>
          <w:b/>
          <w:bCs/>
          <w:sz w:val="20"/>
          <w:szCs w:val="20"/>
        </w:rPr>
        <w:t>QUADRO — INDICADORES, METAS E RISCOS</w:t>
      </w:r>
    </w:p>
    <w:tbl>
      <w:tblPr>
        <w:tblW w:w="8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1"/>
        <w:gridCol w:w="1668"/>
        <w:gridCol w:w="1684"/>
        <w:gridCol w:w="1484"/>
        <w:gridCol w:w="1479"/>
        <w:gridCol w:w="1274"/>
      </w:tblGrid>
      <w:tr w:rsidR="001C14EB" w:rsidRPr="001C14EB">
        <w:tc>
          <w:tcPr>
            <w:tcW w:w="12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Eixo/Objetivo</w:t>
            </w:r>
          </w:p>
        </w:tc>
        <w:tc>
          <w:tcPr>
            <w:tcW w:w="1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Desafio Principal</w:t>
            </w:r>
          </w:p>
        </w:tc>
        <w:tc>
          <w:tcPr>
            <w:tcW w:w="1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Indicador(es)</w:t>
            </w:r>
          </w:p>
        </w:tc>
        <w:tc>
          <w:tcPr>
            <w:tcW w:w="1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Risco</w:t>
            </w:r>
          </w:p>
        </w:tc>
        <w:tc>
          <w:tcPr>
            <w:tcW w:w="1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Mitigação</w:t>
            </w:r>
          </w:p>
        </w:tc>
        <w:tc>
          <w:tcPr>
            <w:tcW w:w="13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Pr>
              <w:jc w:val="center"/>
            </w:pPr>
            <w:r w:rsidRPr="001C14EB">
              <w:rPr>
                <w:b/>
                <w:bCs/>
                <w:sz w:val="18"/>
                <w:szCs w:val="18"/>
              </w:rPr>
              <w:t>Meta</w:t>
            </w:r>
          </w:p>
        </w:tc>
      </w:tr>
      <w:tr w:rsidR="001C14EB" w:rsidRPr="001C14EB"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[1]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[Desafio principal]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proofErr w:type="gramStart"/>
            <w:r w:rsidRPr="001C14EB">
              <w:rPr>
                <w:i/>
                <w:iCs/>
                <w:sz w:val="18"/>
                <w:szCs w:val="18"/>
              </w:rPr>
              <w:t>[Indicador</w:t>
            </w:r>
            <w:proofErr w:type="gramEnd"/>
            <w:r w:rsidRPr="001C14EB">
              <w:rPr>
                <w:i/>
                <w:iCs/>
                <w:sz w:val="18"/>
                <w:szCs w:val="18"/>
              </w:rPr>
              <w:t>(es)]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[Risco identificado]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[Ação de mitigação]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771AD" w:rsidRPr="001C14EB" w:rsidRDefault="001C14EB">
            <w:r w:rsidRPr="001C14EB">
              <w:rPr>
                <w:i/>
                <w:iCs/>
                <w:sz w:val="18"/>
                <w:szCs w:val="18"/>
              </w:rPr>
              <w:t>[Meta e prazo]</w:t>
            </w:r>
          </w:p>
        </w:tc>
      </w:tr>
    </w:tbl>
    <w:p w:rsidR="003771AD" w:rsidRPr="001C14EB" w:rsidRDefault="003771AD">
      <w:pPr>
        <w:spacing w:after="200"/>
      </w:pPr>
    </w:p>
    <w:p w:rsidR="003771AD" w:rsidRPr="001C14EB" w:rsidRDefault="001C14EB">
      <w:pPr>
        <w:pStyle w:val="Ttulo3"/>
        <w:spacing w:before="200" w:after="100"/>
        <w:rPr>
          <w:color w:val="auto"/>
        </w:rPr>
      </w:pPr>
      <w:r w:rsidRPr="001C14EB">
        <w:rPr>
          <w:b/>
          <w:bCs/>
          <w:i/>
          <w:iCs/>
          <w:color w:val="auto"/>
        </w:rPr>
        <w:t>7.5.1. Operacionalização do Acompanhamento de Indicadores, Metas e Riscos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como o SGP/SGI do TCE-GO é utilizado para o registro e acompanhamento das iniciativas, indicadores e riscos vinculados ao PDI, distinguindo indicadores operacionais/pedagógicos (acompanhados pela ESCOEX) dos indicadores estratégicos integrados à cesta institucional do PET (acompanhados em articulação com a SEC-PLAN).]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 xml:space="preserve">7.6. </w:t>
      </w:r>
      <w:proofErr w:type="gramStart"/>
      <w:r w:rsidRPr="001C14EB">
        <w:rPr>
          <w:b/>
          <w:bCs/>
          <w:color w:val="auto"/>
        </w:rPr>
        <w:t>Transparência e Comunicação Institucional</w:t>
      </w:r>
      <w:proofErr w:type="gramEnd"/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lastRenderedPageBreak/>
        <w:t>[Descrever</w:t>
      </w:r>
      <w:proofErr w:type="gramEnd"/>
      <w:r w:rsidRPr="001C14EB">
        <w:rPr>
          <w:i/>
          <w:iCs/>
        </w:rPr>
        <w:t xml:space="preserve"> as diretrizes de transparência ativa e comunicação institucional adotadas para divulgação das ações educacionais e prestação de contas dos resultados.]</w:t>
      </w:r>
    </w:p>
    <w:p w:rsidR="003771AD" w:rsidRPr="001C14EB" w:rsidRDefault="001C14EB">
      <w:pPr>
        <w:pStyle w:val="Ttulo1"/>
        <w:spacing w:before="360" w:after="160"/>
        <w:rPr>
          <w:color w:val="auto"/>
        </w:rPr>
      </w:pPr>
      <w:r w:rsidRPr="001C14EB">
        <w:rPr>
          <w:b/>
          <w:bCs/>
          <w:color w:val="auto"/>
        </w:rPr>
        <w:t>8. SUSTENTABILIDADE INSTITUCIONAL E FINANCEIRA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8.1. Sustentabilidade Institucional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os fundamentos constitucionais e legais que asseguram a permanência e a estabilidade institucional do TCE-GO e, por extensão, da ESCOEX.]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8.2. Sustentabilidade Financeira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a fonte de recursos que assegura o funcionamento da ESCOEX (orçamento do TCE-GO, fundos específicos, quando aplicável) e as despesas típicas cobertas por esses recursos.]</w:t>
      </w:r>
    </w:p>
    <w:p w:rsidR="003771AD" w:rsidRPr="001C14EB" w:rsidRDefault="001C14EB">
      <w:pPr>
        <w:pStyle w:val="Ttulo2"/>
        <w:spacing w:before="260" w:after="120"/>
        <w:rPr>
          <w:color w:val="auto"/>
        </w:rPr>
      </w:pPr>
      <w:r w:rsidRPr="001C14EB">
        <w:rPr>
          <w:b/>
          <w:bCs/>
          <w:color w:val="auto"/>
        </w:rPr>
        <w:t>8.3. Continuidade e Viabilidade da Oferta Educacional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[Descrever</w:t>
      </w:r>
      <w:proofErr w:type="gramEnd"/>
      <w:r w:rsidRPr="001C14EB">
        <w:rPr>
          <w:i/>
          <w:iCs/>
        </w:rPr>
        <w:t xml:space="preserve"> o modelo de gestão que assegura a continuidade e a viabilidade da oferta educacional da Escola no médio e longo prazo.]</w:t>
      </w:r>
    </w:p>
    <w:p w:rsidR="003771AD" w:rsidRPr="001C14EB" w:rsidRDefault="001C14EB">
      <w:pPr>
        <w:pStyle w:val="Ttulo1"/>
        <w:spacing w:before="360" w:after="160"/>
        <w:rPr>
          <w:color w:val="auto"/>
        </w:rPr>
      </w:pPr>
      <w:r w:rsidRPr="001C14EB">
        <w:rPr>
          <w:b/>
          <w:bCs/>
          <w:color w:val="auto"/>
        </w:rPr>
        <w:t>CONCLUSÃO</w:t>
      </w:r>
    </w:p>
    <w:p w:rsidR="003771AD" w:rsidRPr="001C14EB" w:rsidRDefault="001C14EB">
      <w:pPr>
        <w:spacing w:after="200"/>
        <w:jc w:val="both"/>
      </w:pPr>
      <w:proofErr w:type="gramStart"/>
      <w:r w:rsidRPr="001C14EB">
        <w:rPr>
          <w:i/>
          <w:iCs/>
        </w:rPr>
        <w:t>[Sintetizar</w:t>
      </w:r>
      <w:proofErr w:type="gramEnd"/>
      <w:r w:rsidRPr="001C14EB">
        <w:rPr>
          <w:i/>
          <w:iCs/>
        </w:rPr>
        <w:t xml:space="preserve"> como o PDI articula identidade institucional, PPP e Plano Estratégico da ESCOEX em um instrumento único, destacando seu papel na execução, no monitoramento e na revisão periódica da política educacional da Escola.]</w:t>
      </w:r>
    </w:p>
    <w:sectPr w:rsidR="003771AD" w:rsidRPr="001C14EB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0F4A4D"/>
    <w:multiLevelType w:val="hybridMultilevel"/>
    <w:tmpl w:val="5C64DDC2"/>
    <w:lvl w:ilvl="0" w:tplc="EA58E0BC">
      <w:start w:val="1"/>
      <w:numFmt w:val="bullet"/>
      <w:lvlText w:val="●"/>
      <w:lvlJc w:val="left"/>
      <w:pPr>
        <w:ind w:left="720" w:hanging="360"/>
      </w:pPr>
    </w:lvl>
    <w:lvl w:ilvl="1" w:tplc="19DA01AA">
      <w:start w:val="1"/>
      <w:numFmt w:val="bullet"/>
      <w:lvlText w:val="○"/>
      <w:lvlJc w:val="left"/>
      <w:pPr>
        <w:ind w:left="1440" w:hanging="360"/>
      </w:pPr>
    </w:lvl>
    <w:lvl w:ilvl="2" w:tplc="3844FD2E">
      <w:start w:val="1"/>
      <w:numFmt w:val="bullet"/>
      <w:lvlText w:val="■"/>
      <w:lvlJc w:val="left"/>
      <w:pPr>
        <w:ind w:left="2160" w:hanging="360"/>
      </w:pPr>
    </w:lvl>
    <w:lvl w:ilvl="3" w:tplc="86968E1A">
      <w:start w:val="1"/>
      <w:numFmt w:val="bullet"/>
      <w:lvlText w:val="●"/>
      <w:lvlJc w:val="left"/>
      <w:pPr>
        <w:ind w:left="2880" w:hanging="360"/>
      </w:pPr>
    </w:lvl>
    <w:lvl w:ilvl="4" w:tplc="14FC4532">
      <w:start w:val="1"/>
      <w:numFmt w:val="bullet"/>
      <w:lvlText w:val="○"/>
      <w:lvlJc w:val="left"/>
      <w:pPr>
        <w:ind w:left="3600" w:hanging="360"/>
      </w:pPr>
    </w:lvl>
    <w:lvl w:ilvl="5" w:tplc="19A0775E">
      <w:start w:val="1"/>
      <w:numFmt w:val="bullet"/>
      <w:lvlText w:val="■"/>
      <w:lvlJc w:val="left"/>
      <w:pPr>
        <w:ind w:left="4320" w:hanging="360"/>
      </w:pPr>
    </w:lvl>
    <w:lvl w:ilvl="6" w:tplc="D8C0DAC2">
      <w:start w:val="1"/>
      <w:numFmt w:val="bullet"/>
      <w:lvlText w:val="●"/>
      <w:lvlJc w:val="left"/>
      <w:pPr>
        <w:ind w:left="5040" w:hanging="360"/>
      </w:pPr>
    </w:lvl>
    <w:lvl w:ilvl="7" w:tplc="E15ACEFC">
      <w:start w:val="1"/>
      <w:numFmt w:val="bullet"/>
      <w:lvlText w:val="●"/>
      <w:lvlJc w:val="left"/>
      <w:pPr>
        <w:ind w:left="5760" w:hanging="360"/>
      </w:pPr>
    </w:lvl>
    <w:lvl w:ilvl="8" w:tplc="2FCE5B9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1AD"/>
    <w:rsid w:val="001C14EB"/>
    <w:rsid w:val="003771AD"/>
    <w:rsid w:val="00756F45"/>
    <w:rsid w:val="009A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0410"/>
  <w15:docId w15:val="{4AC92E3B-0F57-429A-AF1E-B9DA33A8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2180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 Calixto Abdalla Ribeiro</cp:lastModifiedBy>
  <cp:revision>3</cp:revision>
  <dcterms:created xsi:type="dcterms:W3CDTF">2026-10-09T14:05:00Z</dcterms:created>
  <dcterms:modified xsi:type="dcterms:W3CDTF">2026-10-27T19:39:00Z</dcterms:modified>
</cp:coreProperties>
</file>